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108" w:name="_GoBack"/>
      <w:bookmarkEnd w:id="108"/>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1105</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1105</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23267"/>
      <w:bookmarkStart w:id="3" w:name="_Toc29416"/>
      <w:bookmarkStart w:id="4" w:name="_Toc2868"/>
      <w:bookmarkStart w:id="5" w:name="_Toc18122"/>
      <w:bookmarkStart w:id="6" w:name="_Toc23950"/>
      <w:bookmarkStart w:id="7" w:name="_Toc31780"/>
      <w:bookmarkStart w:id="8" w:name="_Toc2018"/>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11376"/>
      <w:bookmarkStart w:id="10" w:name="_Toc27822"/>
      <w:bookmarkStart w:id="11" w:name="_Toc28185"/>
      <w:bookmarkStart w:id="12" w:name="_Toc27779"/>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31970"/>
      <w:bookmarkStart w:id="14" w:name="_Toc1099"/>
      <w:bookmarkStart w:id="15" w:name="_Toc365903516"/>
      <w:r>
        <w:rPr>
          <w:rFonts w:hint="eastAsia"/>
          <w:bCs/>
          <w:sz w:val="28"/>
          <w:szCs w:val="24"/>
          <w:highlight w:val="none"/>
          <w:lang w:val="en-US" w:eastAsia="zh-CN"/>
        </w:rPr>
        <w:t>ENS-1105D蓄电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26597"/>
      <w:bookmarkStart w:id="17" w:name="_Toc32113"/>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20610"/>
      <w:bookmarkStart w:id="21" w:name="_Toc190"/>
      <w:bookmarkStart w:id="22" w:name="_Toc14877"/>
      <w:bookmarkStart w:id="23" w:name="_Toc19595"/>
      <w:bookmarkStart w:id="24" w:name="_Toc5094"/>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ENS-1105D</w:t>
            </w:r>
            <w:r>
              <w:rPr>
                <w:rFonts w:hint="eastAsia" w:eastAsia="宋体"/>
                <w:bCs/>
                <w:color w:val="000000"/>
                <w:sz w:val="28"/>
                <w:szCs w:val="32"/>
                <w:lang w:val="en-US" w:eastAsia="zh-CN"/>
              </w:rPr>
              <w:t xml:space="preserve"> </w:t>
            </w:r>
            <w:r>
              <w:rPr>
                <w:rFonts w:hint="eastAsia"/>
                <w:bCs/>
                <w:color w:val="000000"/>
                <w:sz w:val="28"/>
                <w:szCs w:val="32"/>
                <w:lang w:val="en-US" w:eastAsia="zh-CN"/>
              </w:rPr>
              <w:t>蓄电池放电仪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eastAsia="宋体"/>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default" w:eastAsia="宋体"/>
                <w:bCs/>
                <w:color w:val="000000"/>
                <w:sz w:val="28"/>
                <w:szCs w:val="32"/>
                <w:lang w:val="en-US" w:eastAsia="zh-CN"/>
              </w:rPr>
            </w:pPr>
            <w:r>
              <w:rPr>
                <w:rFonts w:hint="eastAsia" w:ascii="Wingdings 2" w:hAnsi="Wingdings 2" w:cs="Wingdings 2"/>
                <w:color w:val="000000"/>
                <w:sz w:val="20"/>
                <w:szCs w:val="20"/>
              </w:rPr>
              <w:drawing>
                <wp:inline distT="0" distB="0" distL="114300" distR="114300">
                  <wp:extent cx="1913890" cy="2318385"/>
                  <wp:effectExtent l="0" t="0" r="0" b="0"/>
                  <wp:docPr id="13" name="图片 13" descr="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PS图片"/>
                          <pic:cNvPicPr>
                            <a:picLocks noChangeAspect="1"/>
                          </pic:cNvPicPr>
                        </pic:nvPicPr>
                        <pic:blipFill>
                          <a:blip r:embed="rId8"/>
                          <a:stretch>
                            <a:fillRect/>
                          </a:stretch>
                        </pic:blipFill>
                        <pic:spPr>
                          <a:xfrm>
                            <a:off x="0" y="0"/>
                            <a:ext cx="1913890" cy="23183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Cs/>
                <w:color w:val="000000"/>
                <w:sz w:val="28"/>
                <w:szCs w:val="32"/>
              </w:rPr>
            </w:pPr>
            <w:r>
              <w:rPr>
                <w:rFonts w:hint="eastAsia" w:eastAsia="宋体"/>
                <w:bCs/>
                <w:color w:val="000000"/>
                <w:sz w:val="28"/>
                <w:szCs w:val="32"/>
                <w:lang w:val="en-US" w:eastAsia="zh-CN"/>
              </w:rPr>
              <w:t>主机</w:t>
            </w:r>
            <w:r>
              <w:rPr>
                <w:rFonts w:hint="eastAsia"/>
                <w:bCs/>
                <w:color w:val="000000"/>
                <w:sz w:val="28"/>
                <w:szCs w:val="32"/>
                <w:lang w:val="en-US" w:eastAsia="zh-CN"/>
              </w:rPr>
              <w:t>13</w:t>
            </w:r>
            <w:r>
              <w:rPr>
                <w:rFonts w:eastAsia="宋体"/>
                <w:bCs/>
                <w:color w:val="000000"/>
                <w:sz w:val="28"/>
                <w:szCs w:val="32"/>
              </w:rPr>
              <w:t>(</w:t>
            </w:r>
            <w:r>
              <w:rPr>
                <w:rFonts w:hint="eastAsia" w:eastAsia="宋体"/>
                <w:bCs/>
                <w:color w:val="000000"/>
                <w:sz w:val="28"/>
                <w:szCs w:val="32"/>
              </w:rPr>
              <w:t>kg</w:t>
            </w:r>
            <w:r>
              <w:rPr>
                <w:rFonts w:eastAsia="宋体"/>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eastAsia="宋体"/>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Cs/>
                <w:color w:val="000000"/>
                <w:sz w:val="28"/>
                <w:szCs w:val="32"/>
                <w:lang w:val="en-US" w:eastAsia="zh-CN"/>
              </w:rPr>
            </w:pPr>
            <w:r>
              <w:rPr>
                <w:rFonts w:hint="eastAsia" w:ascii="宋体" w:hAnsi="宋体" w:cs="宋体"/>
                <w:color w:val="000000"/>
                <w:kern w:val="0"/>
                <w:sz w:val="24"/>
              </w:rPr>
              <w:t>465*265*280</w:t>
            </w:r>
            <w:r>
              <w:rPr>
                <w:rFonts w:hint="eastAsia" w:ascii="宋体" w:hAnsi="宋体" w:cs="宋体"/>
                <w:color w:val="000000"/>
                <w:kern w:val="0"/>
                <w:sz w:val="24"/>
                <w:lang w:eastAsia="zh-CN"/>
              </w:rPr>
              <w:t>（</w:t>
            </w:r>
            <w:r>
              <w:rPr>
                <w:rFonts w:hint="eastAsia" w:eastAsia="宋体"/>
                <w:bCs/>
                <w:color w:val="000000"/>
                <w:sz w:val="28"/>
                <w:szCs w:val="32"/>
                <w:lang w:val="en-US" w:eastAsia="zh-CN"/>
              </w:rPr>
              <w:t>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30082"/>
      <w:bookmarkStart w:id="26" w:name="_Toc27770"/>
      <w:bookmarkStart w:id="27" w:name="_Toc297"/>
      <w:bookmarkStart w:id="28" w:name="_Toc26631"/>
      <w:bookmarkStart w:id="29" w:name="_Toc20841"/>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rFonts w:hint="eastAsia" w:ascii="宋体" w:hAnsi="宋体" w:eastAsia="宋体" w:cs="宋体"/>
                <w:color w:val="000000"/>
                <w:sz w:val="28"/>
                <w:szCs w:val="28"/>
                <w:highlight w:val="none"/>
              </w:rPr>
            </w:pPr>
            <w:r>
              <w:rPr>
                <w:rFonts w:hint="eastAsia"/>
                <w:color w:val="000000"/>
                <w:sz w:val="28"/>
                <w:szCs w:val="28"/>
                <w:lang w:val="en-US" w:eastAsia="zh-CN"/>
              </w:rPr>
              <w:t>90-145V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rFonts w:hint="default" w:cs="宋体"/>
                <w:color w:val="000000"/>
                <w:sz w:val="28"/>
                <w:szCs w:val="28"/>
                <w:highlight w:val="none"/>
                <w:lang w:val="en-US" w:eastAsia="zh-CN"/>
              </w:rPr>
            </w:pPr>
            <w:r>
              <w:rPr>
                <w:rFonts w:hint="eastAsia"/>
                <w:sz w:val="28"/>
                <w:szCs w:val="28"/>
                <w:lang w:val="en-US" w:eastAsia="zh-CN"/>
              </w:rPr>
              <w:t>0-50A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22383"/>
      <w:bookmarkStart w:id="32" w:name="_Toc10188"/>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13050"/>
      <w:bookmarkStart w:id="36" w:name="_Toc28269"/>
      <w:bookmarkStart w:id="37" w:name="_Toc8502"/>
      <w:bookmarkStart w:id="38" w:name="_Toc1787"/>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21499"/>
      <w:bookmarkStart w:id="40" w:name="_Toc1615"/>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2207"/>
      <w:bookmarkStart w:id="42" w:name="_Toc6119"/>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136"/>
            <w:bookmarkStart w:id="44" w:name="_Toc23515"/>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17046"/>
      <w:bookmarkStart w:id="46" w:name="_Toc22454"/>
      <w:bookmarkStart w:id="47" w:name="_Toc29392"/>
      <w:bookmarkStart w:id="48" w:name="_Toc13035"/>
      <w:bookmarkStart w:id="49" w:name="_Toc8931"/>
      <w:bookmarkStart w:id="50" w:name="_Toc16847"/>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7725"/>
      <w:bookmarkStart w:id="52" w:name="_Toc6529"/>
      <w:bookmarkStart w:id="53" w:name="_Toc16168"/>
      <w:bookmarkStart w:id="54" w:name="_Toc32264"/>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20658"/>
      <w:bookmarkStart w:id="56" w:name="_Toc30810"/>
      <w:bookmarkStart w:id="57" w:name="_Toc27563"/>
      <w:bookmarkStart w:id="58" w:name="_Toc15788"/>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29546"/>
      <w:bookmarkStart w:id="60" w:name="_Toc3107"/>
      <w:bookmarkStart w:id="61" w:name="_Toc14932"/>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14150"/>
      <w:bookmarkStart w:id="63" w:name="_Toc9756"/>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001"/>
                          <a:chOff x="7074" y="195066"/>
                          <a:chExt cx="2597" cy="1001"/>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1001" cy="1001"/>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001"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">
                <o:lock v:ext="edit" aspectratio="f"/>
                <v:shape id="1080" o:spid="_x0000_s1026" o:spt="75" alt="32303230323037303b32303230393735333bb5e7d4b4b2e5cfdfcdb7" type="#_x0000_t75" style="position:absolute;left:7074;top:195066;height:1001;width:1001;" filled="f" o:preferrelative="t" stroked="f" coordsize="21600,21600" o:gfxdata="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L8iO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8290"/>
      <w:bookmarkStart w:id="68" w:name="_Toc6563"/>
      <w:bookmarkStart w:id="69" w:name="_Toc32579"/>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4524"/>
      <w:bookmarkStart w:id="71" w:name="_Toc27886"/>
      <w:bookmarkStart w:id="72" w:name="_Toc24970"/>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7375"/>
      <w:bookmarkStart w:id="74" w:name="_Toc18464"/>
      <w:bookmarkStart w:id="75" w:name="_Toc10918"/>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012"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51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259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51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1198"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32422"/>
      <w:bookmarkStart w:id="80" w:name="_Toc4744"/>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6892"/>
      <w:bookmarkStart w:id="83" w:name="_Toc16285"/>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10011"/>
      <w:bookmarkStart w:id="86" w:name="_Toc30227"/>
      <w:bookmarkStart w:id="87" w:name="_Toc29295"/>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15922"/>
      <w:bookmarkStart w:id="89" w:name="_Toc6826"/>
      <w:bookmarkStart w:id="90" w:name="_Toc29781"/>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17502"/>
      <w:bookmarkStart w:id="92" w:name="_Toc7722"/>
      <w:bookmarkStart w:id="93" w:name="_Toc29830"/>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7620"/>
      <w:bookmarkStart w:id="95" w:name="_Toc17927"/>
      <w:bookmarkStart w:id="96" w:name="_Toc30190"/>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13618"/>
      <w:bookmarkStart w:id="101" w:name="_Toc848"/>
      <w:bookmarkStart w:id="102" w:name="_Toc16945"/>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0035"/>
      <w:bookmarkStart w:id="105" w:name="_Toc28400"/>
      <w:bookmarkStart w:id="106" w:name="_Toc27149"/>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ENS-1105D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574699"/>
    <w:rsid w:val="059D1C8C"/>
    <w:rsid w:val="06496337"/>
    <w:rsid w:val="07746E01"/>
    <w:rsid w:val="07F54249"/>
    <w:rsid w:val="092E2093"/>
    <w:rsid w:val="09B90977"/>
    <w:rsid w:val="0A6B1808"/>
    <w:rsid w:val="0D65696E"/>
    <w:rsid w:val="0E1B7EF0"/>
    <w:rsid w:val="0EB32C85"/>
    <w:rsid w:val="10554C70"/>
    <w:rsid w:val="11194EA4"/>
    <w:rsid w:val="124C4275"/>
    <w:rsid w:val="12C06D06"/>
    <w:rsid w:val="1468384A"/>
    <w:rsid w:val="15377152"/>
    <w:rsid w:val="15D3440A"/>
    <w:rsid w:val="1887214B"/>
    <w:rsid w:val="18995527"/>
    <w:rsid w:val="19F169DE"/>
    <w:rsid w:val="1A4E4953"/>
    <w:rsid w:val="1D02248A"/>
    <w:rsid w:val="1D304574"/>
    <w:rsid w:val="1EFE726C"/>
    <w:rsid w:val="1F3B22A4"/>
    <w:rsid w:val="20D95582"/>
    <w:rsid w:val="21B01FF6"/>
    <w:rsid w:val="247A56CF"/>
    <w:rsid w:val="26AD6528"/>
    <w:rsid w:val="26C612D1"/>
    <w:rsid w:val="274912B9"/>
    <w:rsid w:val="290F48CA"/>
    <w:rsid w:val="2A8E5D9E"/>
    <w:rsid w:val="2AD2014A"/>
    <w:rsid w:val="2C905414"/>
    <w:rsid w:val="2F875074"/>
    <w:rsid w:val="2F973898"/>
    <w:rsid w:val="313830FA"/>
    <w:rsid w:val="31D07F9C"/>
    <w:rsid w:val="33BA4BF6"/>
    <w:rsid w:val="353B4DCC"/>
    <w:rsid w:val="35AA7A0B"/>
    <w:rsid w:val="35F2653C"/>
    <w:rsid w:val="36B96E80"/>
    <w:rsid w:val="39C6583F"/>
    <w:rsid w:val="3AF834C5"/>
    <w:rsid w:val="3B210330"/>
    <w:rsid w:val="3B9E534B"/>
    <w:rsid w:val="3D1127ED"/>
    <w:rsid w:val="3DE0182C"/>
    <w:rsid w:val="3FD8588C"/>
    <w:rsid w:val="40527181"/>
    <w:rsid w:val="41485461"/>
    <w:rsid w:val="41D04BE6"/>
    <w:rsid w:val="42F25969"/>
    <w:rsid w:val="43155505"/>
    <w:rsid w:val="45390767"/>
    <w:rsid w:val="47950617"/>
    <w:rsid w:val="48AD2BFC"/>
    <w:rsid w:val="48BE4498"/>
    <w:rsid w:val="49305CF2"/>
    <w:rsid w:val="4A1A4B4B"/>
    <w:rsid w:val="4B293527"/>
    <w:rsid w:val="4D5338B3"/>
    <w:rsid w:val="50B973DF"/>
    <w:rsid w:val="51185BD1"/>
    <w:rsid w:val="5286649C"/>
    <w:rsid w:val="54324CFF"/>
    <w:rsid w:val="543A450F"/>
    <w:rsid w:val="54444C86"/>
    <w:rsid w:val="552839E4"/>
    <w:rsid w:val="57FC7C86"/>
    <w:rsid w:val="58A06FBC"/>
    <w:rsid w:val="59F36053"/>
    <w:rsid w:val="5B3970D5"/>
    <w:rsid w:val="5B401077"/>
    <w:rsid w:val="5EC826F5"/>
    <w:rsid w:val="5F4C6FCE"/>
    <w:rsid w:val="60114363"/>
    <w:rsid w:val="611B6B1B"/>
    <w:rsid w:val="61E363A5"/>
    <w:rsid w:val="62B376F4"/>
    <w:rsid w:val="6491129C"/>
    <w:rsid w:val="64E1025D"/>
    <w:rsid w:val="65B4762A"/>
    <w:rsid w:val="660A3AED"/>
    <w:rsid w:val="66E00EB2"/>
    <w:rsid w:val="674E36C6"/>
    <w:rsid w:val="67504C8F"/>
    <w:rsid w:val="67E73655"/>
    <w:rsid w:val="67EE4F89"/>
    <w:rsid w:val="68537099"/>
    <w:rsid w:val="691C6B09"/>
    <w:rsid w:val="69E44EDE"/>
    <w:rsid w:val="6A4E506E"/>
    <w:rsid w:val="6BC274A7"/>
    <w:rsid w:val="7066741D"/>
    <w:rsid w:val="708E1AB0"/>
    <w:rsid w:val="71114D07"/>
    <w:rsid w:val="71175551"/>
    <w:rsid w:val="722520A6"/>
    <w:rsid w:val="72F032AC"/>
    <w:rsid w:val="73EC5415"/>
    <w:rsid w:val="75CD3AB8"/>
    <w:rsid w:val="77AE74AB"/>
    <w:rsid w:val="781315D6"/>
    <w:rsid w:val="79131A3C"/>
    <w:rsid w:val="7A0E5017"/>
    <w:rsid w:val="7A684E07"/>
    <w:rsid w:val="7AC56091"/>
    <w:rsid w:val="7AFA7F9C"/>
    <w:rsid w:val="7B0D75E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7981</Words>
  <Characters>8649</Characters>
  <Lines>26</Lines>
  <Paragraphs>7</Paragraphs>
  <TotalTime>1</TotalTime>
  <ScaleCrop>false</ScaleCrop>
  <LinksUpToDate>false</LinksUpToDate>
  <CharactersWithSpaces>8820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2024-05-30T06:46:20Z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B7D97A68A57F49CE8AC4470C0157093F_13</vt:lpwstr>
  </property>
</Properties>
</file>